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3C57" w:rsidRDefault="000F4897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Springfield College Faculty Senate </w:t>
      </w:r>
    </w:p>
    <w:p w14:paraId="00000002" w14:textId="5CC1130D" w:rsidR="00A73C57" w:rsidRDefault="000F4897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Minutes</w:t>
      </w:r>
    </w:p>
    <w:p w14:paraId="00000003" w14:textId="77777777" w:rsidR="00A73C57" w:rsidRDefault="000F4897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February 5th, 2024</w:t>
      </w:r>
    </w:p>
    <w:p w14:paraId="00000004" w14:textId="77777777" w:rsidR="00A73C57" w:rsidRDefault="000F4897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12:00 – 1:20</w:t>
      </w:r>
    </w:p>
    <w:p w14:paraId="00000005" w14:textId="77777777" w:rsidR="00A73C57" w:rsidRDefault="000F4897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Hickory Room 109</w:t>
      </w:r>
    </w:p>
    <w:p w14:paraId="00000006" w14:textId="77777777" w:rsidR="00A73C57" w:rsidRDefault="000F4897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https://springfield.zoom.us/j/82822691712</w:t>
      </w:r>
    </w:p>
    <w:p w14:paraId="00000007" w14:textId="77777777" w:rsidR="00A73C57" w:rsidRDefault="00A73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08" w14:textId="77777777" w:rsidR="00A73C57" w:rsidRDefault="00A73C57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09" w14:textId="77777777" w:rsidR="00A73C57" w:rsidRDefault="000F4897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Senate Roll Call/Welcome Guests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Dr. Debbie Burnett, Senate Vice President</w:t>
      </w:r>
    </w:p>
    <w:p w14:paraId="0000000A" w14:textId="77777777" w:rsidR="00A73C57" w:rsidRDefault="000F48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23 Senators present, quorum reached </w:t>
      </w:r>
    </w:p>
    <w:p w14:paraId="0000000B" w14:textId="77777777" w:rsidR="00A73C57" w:rsidRDefault="00A73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C" w14:textId="77777777" w:rsidR="00A73C57" w:rsidRDefault="000F4897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Approval of Minutes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Professor Loni Kearney, Senate Secretary</w:t>
      </w:r>
    </w:p>
    <w:p w14:paraId="0000000D" w14:textId="77777777" w:rsidR="00A73C57" w:rsidRDefault="000F4897">
      <w:pPr>
        <w:shd w:val="clear" w:color="auto" w:fill="FFFFFF"/>
        <w:ind w:left="1440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20 yes, 3 abstain, minutes pass </w:t>
      </w:r>
    </w:p>
    <w:p w14:paraId="0000000E" w14:textId="77777777" w:rsidR="00A73C57" w:rsidRDefault="00A73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F" w14:textId="77777777" w:rsidR="00A73C57" w:rsidRDefault="000F4897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Senate President Report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Dr. Jess Barrett, Senate President</w:t>
      </w:r>
    </w:p>
    <w:p w14:paraId="00000010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See associated 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eport </w:t>
      </w:r>
    </w:p>
    <w:p w14:paraId="00000011" w14:textId="77777777" w:rsidR="00A73C57" w:rsidRDefault="00A73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2" w14:textId="77777777" w:rsidR="00A73C57" w:rsidRDefault="000F4897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Springfield College President Report – </w:t>
      </w:r>
      <w:r>
        <w:rPr>
          <w:rFonts w:ascii="Times New Roman" w:eastAsia="Times New Roman" w:hAnsi="Times New Roman" w:cs="Times New Roman"/>
          <w:sz w:val="24"/>
          <w:szCs w:val="24"/>
        </w:rPr>
        <w:t>Dr. Cooper</w:t>
      </w:r>
    </w:p>
    <w:p w14:paraId="00000013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1/31/24, Campaign as raised 49.7 million, anticipated to meet 50 million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Conversations underway with the Executive Committee and additional meetings will be added to allow more space to discuss the costing model, including an open forum. </w:t>
      </w:r>
    </w:p>
    <w:p w14:paraId="00000015" w14:textId="77777777" w:rsidR="00A73C57" w:rsidRDefault="00A73C57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A73C57" w:rsidRDefault="000F4897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Provost Report – </w:t>
      </w:r>
      <w:r>
        <w:rPr>
          <w:rFonts w:ascii="Times New Roman" w:eastAsia="Times New Roman" w:hAnsi="Times New Roman" w:cs="Times New Roman"/>
          <w:sz w:val="24"/>
          <w:szCs w:val="24"/>
        </w:rPr>
        <w:t>Dr. Coughlin</w:t>
      </w:r>
    </w:p>
    <w:p w14:paraId="00000017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Costing model: Topics to discuss will be those presented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Executive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Committee  however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open forum is needed for further discussion. </w:t>
      </w:r>
    </w:p>
    <w:p w14:paraId="00000018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Why are we doing this? It is a common and needed practice in higher education. As cost increases and enrollment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decreases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 need to be efficient with resources there therefore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to understand what is needed to run our programs. We need to determine our financial stability. </w:t>
      </w:r>
    </w:p>
    <w:p w14:paraId="00000019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do we want our goals and outcomes to be? Determine financial stability of undergraduate and graduate programs. Ensure that we are efficient and effe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ctive while encouraging growth of future programs. This structure will allow for recommendations to be made. These will include trimming programs and adding programs. </w:t>
      </w:r>
    </w:p>
    <w:p w14:paraId="0000001A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model calculates program revenue, instructional cost and operating expenses. A progr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is defined as a combination of the major and any associated concentration. </w:t>
      </w:r>
    </w:p>
    <w:p w14:paraId="0000001B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model is based on actual revenues (net tuition) and expenditures. For undergraduates, net tuition is split between the program and the core. The core curriculum appears as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</w:p>
    <w:p w14:paraId="0000001C" w14:textId="77777777" w:rsidR="00A73C57" w:rsidRDefault="000F4897">
      <w:pPr>
        <w:numPr>
          <w:ilvl w:val="2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Instructional costs include faculty salary, adjunct salary, cost of fieldwork/internships/labs etc. </w:t>
      </w:r>
    </w:p>
    <w:p w14:paraId="0000001D" w14:textId="77777777" w:rsidR="00A73C57" w:rsidRDefault="000F4897">
      <w:pPr>
        <w:numPr>
          <w:ilvl w:val="2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Operating expenses exist at multiple levels: Department, school, academic support areas, institutional. The costs are allocated based on the 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ner in which the program utilizes them. Institutional supports are split based on the FTE basis of the students in the program. </w:t>
      </w:r>
    </w:p>
    <w:p w14:paraId="0000001E" w14:textId="77777777" w:rsidR="00A73C57" w:rsidRDefault="000F4897">
      <w:pPr>
        <w:numPr>
          <w:ilvl w:val="2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Limitations of the model: This model does not account for all of the expenses of the college. It does include financial aid,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rollment and student accounts. It is a single snapshot in time, a time when we attempted to significantly reduce our costs. It does not allow for forecasting.  </w:t>
      </w:r>
    </w:p>
    <w:p w14:paraId="0000001F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Individual program sheets are being created to disseminate to departments with two key elements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success: Confidentiality and Knowledgeable recommendations. Programs will see where they land in relation to other programs as they are shared with department chairs. </w:t>
      </w:r>
    </w:p>
    <w:p w14:paraId="00000020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chairs and consult findings and discuss with their faculty. </w:t>
      </w:r>
    </w:p>
    <w:p w14:paraId="00000021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chairs will bring forward recommendations in consultation with their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Deans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The recommendations will go to the Costing of Academic Programs Working Group who will review the program sheets across all programs. This group has been asked to sign an NDA. </w:t>
      </w:r>
    </w:p>
    <w:p w14:paraId="00000022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BOT will review at the March 1st meeting. The President will ultimately provide final recommendations to the BOT in June. </w:t>
      </w:r>
    </w:p>
    <w:p w14:paraId="00000023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Recommend open forum for further discussion. </w:t>
      </w:r>
    </w:p>
    <w:p w14:paraId="00000024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 from faculty: Is there a costing analysis of other areas. VP Primus is examin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this. Every VP has been asked to examine their cost structure. </w:t>
      </w:r>
    </w:p>
    <w:p w14:paraId="00000025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 from faculty: What is the current discount rate? 68% first time freshman. 52% for continuing students. (22-23)</w:t>
      </w:r>
    </w:p>
    <w:p w14:paraId="00000026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 from senator: Are Deans and Dept Chairs aware of the timeline? Yes. </w:t>
      </w:r>
    </w:p>
    <w:p w14:paraId="00000027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are non-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quantifiables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analyzed? Many of these are emb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edded in the costing structure that we have now. The model does not assign value to cost. </w:t>
      </w:r>
    </w:p>
    <w:p w14:paraId="00000028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Results of 360 evaluation are in: Widely respected, high rating in integrity and trust, effective leader. Would benefit from more delegation and taking more time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connect with a broader base of individuals. Should increase lines of communication. Add clarity to the vision of academic programs. </w:t>
      </w:r>
    </w:p>
    <w:p w14:paraId="00000029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Three goals: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recommendations based on the costing model, continue to support stabilizing the college, creating a smoot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transition for the incoming Provost. </w:t>
      </w:r>
    </w:p>
    <w:p w14:paraId="0000002A" w14:textId="77777777" w:rsidR="00A73C57" w:rsidRDefault="00A73C57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A73C57" w:rsidRDefault="000F4897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Reports:</w:t>
      </w:r>
    </w:p>
    <w:p w14:paraId="0000002C" w14:textId="77777777" w:rsidR="00A73C57" w:rsidRDefault="00A73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D" w14:textId="77777777" w:rsidR="00A73C57" w:rsidRDefault="00A73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E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FDPC 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 Sherri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VandenAkker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Chair </w:t>
      </w:r>
    </w:p>
    <w:p w14:paraId="0000002F" w14:textId="77777777" w:rsidR="00A73C57" w:rsidRDefault="00A73C57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30" w14:textId="77777777" w:rsidR="00A73C57" w:rsidRDefault="000F4897">
      <w:pPr>
        <w:numPr>
          <w:ilvl w:val="2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Motion to Amend Article 15 - No Vote </w:t>
      </w:r>
    </w:p>
    <w:p w14:paraId="00000031" w14:textId="77777777" w:rsidR="00A73C57" w:rsidRDefault="00A73C5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</w:p>
    <w:p w14:paraId="00000032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MOTION: Amendment of Article 15 of the Faculty Personnel Policy</w:t>
      </w:r>
    </w:p>
    <w:p w14:paraId="00000033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Faculty Development and Personnel Committee recommends that the Faculty Senate adopt the following amendment to Article 15 of the Faculty Personnel Policy.</w:t>
      </w:r>
    </w:p>
    <w:p w14:paraId="00000034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Rationale for proposing this mot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ion:</w:t>
      </w:r>
    </w:p>
    <w:p w14:paraId="00000035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● To clarify that while it is usually preferable for a current faculty member to assume the duties of Department Chair, at times it is necessary to hire externally.</w:t>
      </w:r>
    </w:p>
    <w:p w14:paraId="00000036" w14:textId="77777777" w:rsidR="00A73C57" w:rsidRDefault="00A73C5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</w:p>
    <w:p w14:paraId="00000037" w14:textId="77777777" w:rsidR="00A73C57" w:rsidRDefault="00A73C5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38" w14:textId="77777777" w:rsidR="00A73C57" w:rsidRDefault="000F4897">
      <w:pPr>
        <w:numPr>
          <w:ilvl w:val="2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Motion to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untable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the below motion and open discussion:</w:t>
      </w:r>
    </w:p>
    <w:p w14:paraId="00000039" w14:textId="77777777" w:rsidR="00A73C57" w:rsidRDefault="00A73C5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</w:p>
    <w:p w14:paraId="0000003A" w14:textId="77777777" w:rsidR="00A73C57" w:rsidRDefault="000F4897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21 yes, motion passes </w:t>
      </w:r>
    </w:p>
    <w:p w14:paraId="0000003B" w14:textId="77777777" w:rsidR="00A73C57" w:rsidRDefault="00A73C57">
      <w:pPr>
        <w:shd w:val="clear" w:color="auto" w:fill="FFFFFF"/>
        <w:spacing w:line="240" w:lineRule="auto"/>
        <w:ind w:left="288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</w:p>
    <w:p w14:paraId="0000003C" w14:textId="77777777" w:rsidR="00A73C57" w:rsidRDefault="000F4897">
      <w:pPr>
        <w:numPr>
          <w:ilvl w:val="2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Motion on Tenure or Long-Term Appointment at Hire for Department Chairs</w:t>
      </w:r>
    </w:p>
    <w:p w14:paraId="0000003D" w14:textId="77777777" w:rsidR="00A73C57" w:rsidRDefault="00A73C5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3E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MOTION: Tenure or Long-Term Appointment at Hire for Department Chairs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Faculty Development and Pers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onnel Committee recommends that the Faculty Senate adopt the following policy and procedure regarding granting tenure or long-term appointment at hire to externally hired Department Chairs. The Committee also recommends that the Senate adopt the proposed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rocedures for Chairs who hold tenure or long-term appointment but relinquish or are removed from the Chair role and wish to return to a full-time faculty role. </w:t>
      </w:r>
    </w:p>
    <w:p w14:paraId="0000003F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Rationale for proposing this motion: </w:t>
      </w:r>
    </w:p>
    <w:p w14:paraId="00000040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● To attract senior scholars who might possess tenure els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ewhere to apply for the position; </w:t>
      </w:r>
    </w:p>
    <w:p w14:paraId="00000041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● To strengthen the Chair’s ability to advocate for faculty and student needs; ● To strengthen the Chair’s ability to give honest feedback in evaluations of faculty; </w:t>
      </w:r>
    </w:p>
    <w:p w14:paraId="00000042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● To strengthen the faculty’s ability to give honest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valuations of the Chair. In addition, there is precedent for tenure eligibility for this position at other institutions.</w:t>
      </w:r>
    </w:p>
    <w:p w14:paraId="00000043" w14:textId="77777777" w:rsidR="00A73C57" w:rsidRDefault="00A73C5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44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What happens if a tenured chair steps down from chair position to faculty line and no one wants to take the role? No addit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ional line will be created. </w:t>
      </w:r>
    </w:p>
    <w:p w14:paraId="00000045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While the external search for a chair is encouraged, automatic tenure is concerning and the senator feels there is not enough information to feel comfortable. Need clarity on timeline and process. </w:t>
      </w:r>
    </w:p>
    <w:p w14:paraId="00000046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Clarification: A tenure packa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 will be required and allows for faculty input in the process. </w:t>
      </w:r>
    </w:p>
    <w:p w14:paraId="00000047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How does this affect the distribution of tenure track? Each position already has a designation and this will not affect that. </w:t>
      </w:r>
    </w:p>
    <w:p w14:paraId="00000048" w14:textId="77777777" w:rsidR="00A73C57" w:rsidRDefault="00A73C5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49" w14:textId="77777777" w:rsidR="00A73C57" w:rsidRDefault="000F4897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7 abstain, 9 yes, 4 against, less than 50% of senators voting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and therefore motion does not pass </w:t>
      </w:r>
    </w:p>
    <w:p w14:paraId="0000004A" w14:textId="77777777" w:rsidR="00A73C57" w:rsidRDefault="00A73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0000004B" w14:textId="77777777" w:rsidR="00A73C57" w:rsidRDefault="000F4897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 xml:space="preserve">iii.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NEW 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otion to charge FDPC: </w:t>
      </w:r>
    </w:p>
    <w:p w14:paraId="0000004C" w14:textId="77777777" w:rsidR="00A73C57" w:rsidRDefault="00A73C57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0000004D" w14:textId="77777777" w:rsidR="00A73C57" w:rsidRDefault="000F4897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 Faculty Senate Executive Committee moves to</w:t>
      </w:r>
    </w:p>
    <w:p w14:paraId="0000004E" w14:textId="77777777" w:rsidR="00A73C57" w:rsidRDefault="000F4897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charge the Faculty Development and Personnel Committee to investigate and develop a proposal for tenure or long-term appointment for faculty at hire.</w:t>
      </w:r>
    </w:p>
    <w:p w14:paraId="0000004F" w14:textId="77777777" w:rsidR="00A73C57" w:rsidRDefault="00A73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50" w14:textId="77777777" w:rsidR="00A73C57" w:rsidRDefault="000F4897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5 abstain, 14 yes, 0 against, motion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passess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</w:p>
    <w:p w14:paraId="00000051" w14:textId="77777777" w:rsidR="00A73C57" w:rsidRDefault="00A73C57">
      <w:pPr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</w:p>
    <w:p w14:paraId="00000052" w14:textId="77777777" w:rsidR="00A73C57" w:rsidRDefault="000F4897">
      <w:pPr>
        <w:numPr>
          <w:ilvl w:val="1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CCC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Dr. Bob Gruber, Chair</w:t>
      </w:r>
    </w:p>
    <w:p w14:paraId="00000053" w14:textId="77777777" w:rsidR="00A73C57" w:rsidRDefault="00A73C57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54" w14:textId="77777777" w:rsidR="00A73C57" w:rsidRDefault="000F4897">
      <w:pPr>
        <w:numPr>
          <w:ilvl w:val="2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Motion on Historical and Social Literacy Core Domain:</w:t>
      </w:r>
    </w:p>
    <w:p w14:paraId="00000055" w14:textId="77777777" w:rsidR="00A73C57" w:rsidRDefault="00A73C5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56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MOTION: The CCC proposes changes to the Historical and Social Literacy Domain Learning Outcomes as follows.</w:t>
      </w:r>
    </w:p>
    <w:p w14:paraId="00000057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Current learning outcomes.</w:t>
      </w:r>
    </w:p>
    <w:p w14:paraId="00000058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 Students will be able to explain the basic principles of historical or social science research (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e.g.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developing resear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 questions, recognition of bias).</w:t>
      </w:r>
    </w:p>
    <w:p w14:paraId="00000059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Students will be able to apply central concepts and/or theories used by historians or social scientists.</w:t>
      </w:r>
    </w:p>
    <w:p w14:paraId="0000005A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Students will be able to communicate and explain ways that ideas, beliefs,</w:t>
      </w:r>
    </w:p>
    <w:p w14:paraId="0000005B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values, norms, &amp;amp; language are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created, and how these cultural phenomena affect people and societies.</w:t>
      </w:r>
    </w:p>
    <w:p w14:paraId="0000005C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 Students will be able to describe the creation of institutions (economic, political, religious, etc.) over time and the impact of such social structures on people.</w:t>
      </w:r>
    </w:p>
    <w:p w14:paraId="0000005D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 Students will b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 able to describe how social scientists and historians analyze the lived experiences of and interactions between people from different social categories (e.g., based on age, gender, class, race, etc.)</w:t>
      </w:r>
    </w:p>
    <w:p w14:paraId="0000005E" w14:textId="77777777" w:rsidR="00A73C57" w:rsidRDefault="00A73C5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5F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Proposed learning outcomes.</w:t>
      </w:r>
    </w:p>
    <w:p w14:paraId="00000060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 Explain the basic prin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ciples and methodologies of history or social science</w:t>
      </w:r>
    </w:p>
    <w:p w14:paraId="00000061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research.</w:t>
      </w:r>
    </w:p>
    <w:p w14:paraId="00000062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Apply central concepts and/or theories used by historians or social scientists.</w:t>
      </w:r>
    </w:p>
    <w:p w14:paraId="00000063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Describe cultural phenomena and explain the impact of culture on people and/or the impact of people on cul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ture.</w:t>
      </w:r>
    </w:p>
    <w:p w14:paraId="00000064" w14:textId="77777777" w:rsidR="00A73C57" w:rsidRDefault="000F489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 Describe an institution and explain an institution’s impact on people and/or the impact of people on an institution.</w:t>
      </w:r>
    </w:p>
    <w:p w14:paraId="00000065" w14:textId="77777777" w:rsidR="00A73C57" w:rsidRDefault="00A73C57">
      <w:pPr>
        <w:shd w:val="clear" w:color="auto" w:fill="FFFFFF"/>
        <w:spacing w:line="240" w:lineRule="auto"/>
        <w:ind w:left="18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66" w14:textId="77777777" w:rsidR="00A73C57" w:rsidRDefault="000F4897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20 vote yes, 0 no, Motion passes </w:t>
      </w:r>
    </w:p>
    <w:p w14:paraId="00000067" w14:textId="77777777" w:rsidR="00A73C57" w:rsidRDefault="00A73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68" w14:textId="77777777" w:rsidR="00A73C57" w:rsidRDefault="00A73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69" w14:textId="77777777" w:rsidR="00A73C57" w:rsidRDefault="000F4897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Adjournment</w:t>
      </w:r>
    </w:p>
    <w:sectPr w:rsidR="00A73C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829A2"/>
    <w:multiLevelType w:val="multilevel"/>
    <w:tmpl w:val="C38AF6DC"/>
    <w:lvl w:ilvl="0">
      <w:start w:val="1"/>
      <w:numFmt w:val="bullet"/>
      <w:lvlText w:val="★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229B3AAC"/>
    <w:multiLevelType w:val="multilevel"/>
    <w:tmpl w:val="33D86A74"/>
    <w:lvl w:ilvl="0">
      <w:start w:val="1"/>
      <w:numFmt w:val="bullet"/>
      <w:lvlText w:val="★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C39325B"/>
    <w:multiLevelType w:val="multilevel"/>
    <w:tmpl w:val="131C7404"/>
    <w:lvl w:ilvl="0">
      <w:start w:val="1"/>
      <w:numFmt w:val="bullet"/>
      <w:lvlText w:val="★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3C647609"/>
    <w:multiLevelType w:val="multilevel"/>
    <w:tmpl w:val="F1AABB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89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01C93"/>
    <w:multiLevelType w:val="multilevel"/>
    <w:tmpl w:val="F68C1D1E"/>
    <w:lvl w:ilvl="0">
      <w:start w:val="1"/>
      <w:numFmt w:val="bullet"/>
      <w:lvlText w:val="★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57"/>
    <w:rsid w:val="000F4897"/>
    <w:rsid w:val="00A73C57"/>
    <w:rsid w:val="00E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CA73"/>
  <w15:docId w15:val="{FA050946-FDBF-4ECA-9D28-7FCE2278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1259</Words>
  <Characters>7182</Characters>
  <Application>Microsoft Office Word</Application>
  <DocSecurity>0</DocSecurity>
  <Lines>59</Lines>
  <Paragraphs>16</Paragraphs>
  <ScaleCrop>false</ScaleCrop>
  <Company>Springfield College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Loni M Kearney</dc:creator>
  <cp:lastModifiedBy>Loni M Kearney</cp:lastModifiedBy>
  <cp:revision>3</cp:revision>
  <dcterms:created xsi:type="dcterms:W3CDTF">2024-02-23T21:36:00Z</dcterms:created>
  <dcterms:modified xsi:type="dcterms:W3CDTF">2024-02-23T21:37:00Z</dcterms:modified>
</cp:coreProperties>
</file>